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bookmarkStart w:id="0" w:name="_GoBack"/>
      <w:bookmarkEnd w:id="0"/>
      <w:r>
        <w:rPr>
          <w:rFonts w:ascii="黑体" w:hAnsi="黑体" w:eastAsia="黑体" w:cs="黑体"/>
          <w:b/>
          <w:bCs/>
          <w:sz w:val="44"/>
          <w:szCs w:val="44"/>
        </w:rPr>
        <w:t>202</w:t>
      </w:r>
      <w:r>
        <w:rPr>
          <w:rFonts w:hint="eastAsia" w:ascii="黑体" w:hAnsi="黑体" w:eastAsia="黑体" w:cs="黑体"/>
          <w:b/>
          <w:bCs/>
          <w:sz w:val="44"/>
          <w:szCs w:val="44"/>
        </w:rPr>
        <w:t>3年度江苏省科学技术奖的公示内容</w:t>
      </w:r>
    </w:p>
    <w:p>
      <w:pPr>
        <w:rPr>
          <w:rFonts w:ascii="宋体" w:hAnsi="宋体" w:eastAsia="宋体"/>
          <w:b/>
          <w:bCs/>
          <w:sz w:val="24"/>
          <w:szCs w:val="28"/>
        </w:rPr>
      </w:pPr>
      <w:r>
        <w:rPr>
          <w:rFonts w:hint="eastAsia" w:ascii="宋体" w:hAnsi="宋体" w:eastAsia="宋体"/>
          <w:b/>
          <w:bCs/>
          <w:sz w:val="24"/>
          <w:szCs w:val="28"/>
        </w:rPr>
        <w:t>1、项目名称：</w:t>
      </w:r>
      <w:r>
        <w:rPr>
          <w:rFonts w:ascii="Times New Roman" w:hAnsi="Times New Roman" w:eastAsia="宋体" w:cs="Times New Roman"/>
          <w:b/>
          <w:bCs/>
          <w:sz w:val="24"/>
          <w:szCs w:val="28"/>
        </w:rPr>
        <w:t>多巴胺D2受体/β-arrestin2偏爱型通路在帕金森病发生中的作用及治疗新策略</w:t>
      </w:r>
    </w:p>
    <w:p>
      <w:pPr>
        <w:rPr>
          <w:rFonts w:ascii="宋体" w:hAnsi="宋体" w:eastAsia="宋体"/>
          <w:sz w:val="24"/>
          <w:szCs w:val="28"/>
        </w:rPr>
      </w:pPr>
      <w:r>
        <w:rPr>
          <w:rFonts w:hint="eastAsia" w:ascii="宋体" w:hAnsi="宋体" w:eastAsia="宋体"/>
          <w:b/>
          <w:bCs/>
          <w:sz w:val="24"/>
          <w:szCs w:val="28"/>
        </w:rPr>
        <w:t>2、提名单位：南京医科大学</w:t>
      </w:r>
    </w:p>
    <w:p>
      <w:pPr>
        <w:rPr>
          <w:rFonts w:ascii="宋体" w:hAnsi="宋体" w:eastAsia="宋体"/>
          <w:b/>
          <w:bCs/>
          <w:sz w:val="24"/>
          <w:szCs w:val="28"/>
        </w:rPr>
      </w:pPr>
      <w:r>
        <w:rPr>
          <w:rFonts w:hint="eastAsia" w:ascii="宋体" w:hAnsi="宋体" w:eastAsia="宋体"/>
          <w:b/>
          <w:bCs/>
          <w:sz w:val="24"/>
          <w:szCs w:val="28"/>
        </w:rPr>
        <w:t>3、主要</w:t>
      </w:r>
      <w:r>
        <w:rPr>
          <w:rFonts w:ascii="宋体" w:hAnsi="宋体" w:eastAsia="宋体"/>
          <w:b/>
          <w:bCs/>
          <w:sz w:val="24"/>
          <w:szCs w:val="28"/>
        </w:rPr>
        <w:t>完成人：胡刚、周嘉伟、伟尧、方吟荃、丁建花、范益、朱佳蕾</w:t>
      </w:r>
    </w:p>
    <w:p>
      <w:pPr>
        <w:rPr>
          <w:rFonts w:ascii="宋体" w:hAnsi="宋体" w:eastAsia="宋体"/>
          <w:b/>
          <w:bCs/>
          <w:sz w:val="24"/>
          <w:szCs w:val="28"/>
        </w:rPr>
      </w:pPr>
      <w:r>
        <w:rPr>
          <w:rFonts w:hint="eastAsia" w:ascii="宋体" w:hAnsi="宋体" w:eastAsia="宋体"/>
          <w:b/>
          <w:bCs/>
          <w:sz w:val="24"/>
          <w:szCs w:val="28"/>
        </w:rPr>
        <w:t>4、主要完成</w:t>
      </w:r>
      <w:r>
        <w:rPr>
          <w:rFonts w:ascii="宋体" w:hAnsi="宋体" w:eastAsia="宋体"/>
          <w:b/>
          <w:bCs/>
          <w:sz w:val="24"/>
          <w:szCs w:val="28"/>
        </w:rPr>
        <w:t>单位：</w:t>
      </w:r>
      <w:r>
        <w:rPr>
          <w:rFonts w:hint="eastAsia" w:ascii="宋体" w:hAnsi="宋体" w:eastAsia="宋体"/>
          <w:b/>
          <w:bCs/>
          <w:sz w:val="24"/>
          <w:szCs w:val="28"/>
        </w:rPr>
        <w:t>南京医科大学、中国科学院脑科学与智能技术卓越创新中心、南京中医药大学</w:t>
      </w:r>
    </w:p>
    <w:p>
      <w:pPr>
        <w:rPr>
          <w:rFonts w:ascii="宋体" w:hAnsi="宋体" w:eastAsia="宋体"/>
          <w:b/>
          <w:bCs/>
          <w:sz w:val="24"/>
          <w:szCs w:val="28"/>
        </w:rPr>
      </w:pPr>
      <w:r>
        <w:rPr>
          <w:rFonts w:hint="eastAsia" w:ascii="宋体" w:hAnsi="宋体" w:eastAsia="宋体"/>
          <w:b/>
          <w:bCs/>
          <w:sz w:val="24"/>
          <w:szCs w:val="28"/>
        </w:rPr>
        <w:t>5、代表性论文：</w:t>
      </w:r>
    </w:p>
    <w:tbl>
      <w:tblPr>
        <w:tblStyle w:val="16"/>
        <w:tblW w:w="8396" w:type="dxa"/>
        <w:jc w:val="center"/>
        <w:tblLayout w:type="fixed"/>
        <w:tblCellMar>
          <w:top w:w="0" w:type="dxa"/>
          <w:left w:w="108" w:type="dxa"/>
          <w:bottom w:w="0" w:type="dxa"/>
          <w:right w:w="108" w:type="dxa"/>
        </w:tblCellMar>
      </w:tblPr>
      <w:tblGrid>
        <w:gridCol w:w="612"/>
        <w:gridCol w:w="2204"/>
        <w:gridCol w:w="1485"/>
        <w:gridCol w:w="1288"/>
        <w:gridCol w:w="1364"/>
        <w:gridCol w:w="1443"/>
      </w:tblGrid>
      <w:tr>
        <w:tblPrEx>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论文论著名称</w:t>
            </w:r>
          </w:p>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/刊名/作者</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年卷页码（XX年XX卷XX页）</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发表时间</w:t>
            </w:r>
          </w:p>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（年月日）</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通讯作者</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第一作者</w:t>
            </w:r>
          </w:p>
        </w:tc>
      </w:tr>
      <w:tr>
        <w:tblPrEx>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1</w:t>
            </w:r>
          </w:p>
        </w:tc>
        <w:tc>
          <w:tcPr>
            <w:tcW w:w="220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Suppression of neuroinflammation by astrocytic dopamine D2 receptors via αB-crystallin/Nature/Wei Shao, Shuzhen Zhang, Mi Tang, Xinhua Zhang, Zheng Zhou, Yanqing Yin, Qinbo Zhou, Yuanyuan Huang, Yingjun Liu, Eric Wawrousek, Teng Chen, Shengbin Li, Ming Xu, Jiangning Zhou, Gang Hu, Jiawei Zhou</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2013年494卷90-94页</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2013年2月7日</w:t>
            </w:r>
          </w:p>
        </w:tc>
        <w:tc>
          <w:tcPr>
            <w:tcW w:w="1364" w:type="dxa"/>
            <w:tcBorders>
              <w:top w:val="single" w:color="auto" w:sz="4" w:space="0"/>
              <w:left w:val="single" w:color="auto" w:sz="4" w:space="0"/>
              <w:bottom w:val="single" w:color="auto" w:sz="4" w:space="0"/>
              <w:right w:val="single" w:color="auto" w:sz="4" w:space="0"/>
            </w:tcBorders>
            <w:vAlign w:val="center"/>
          </w:tcPr>
          <w:p>
            <w:pPr>
              <w:pStyle w:val="11"/>
              <w:spacing w:line="240" w:lineRule="exact"/>
              <w:ind w:firstLine="0" w:firstLineChars="0"/>
              <w:jc w:val="center"/>
            </w:pPr>
            <w:r>
              <w:t>Jiawei Zhou</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Wei Shao, Shuzhen Zhang</w:t>
            </w:r>
          </w:p>
        </w:tc>
      </w:tr>
      <w:tr>
        <w:tblPrEx>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2</w:t>
            </w:r>
          </w:p>
        </w:tc>
        <w:tc>
          <w:tcPr>
            <w:tcW w:w="220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Dopamine D2 receptor restricts astrocytic NLRP3 inflammasome activation via enhancing the interaction of β-arrestin2 and NLRP3/Cell Death &amp; Differentiation/Jialei Zhu, Zhaoli Hu, Xiaojuan Han, Dongshuo Wang, Qingling Jiang, Jianhua Ding, Ming Xiao, Cong Wang, Ming Lu, Gang Hu</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2018年25卷2037-2049页</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2018年11月</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Ming Lu, Gang Hu</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Jialei Zhu</w:t>
            </w:r>
          </w:p>
        </w:tc>
      </w:tr>
      <w:tr>
        <w:tblPrEx>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3</w:t>
            </w:r>
          </w:p>
        </w:tc>
        <w:tc>
          <w:tcPr>
            <w:tcW w:w="220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Opposing functions of β-arrestin 1 and 2 in Parkinson's disease via microglia inflammation and Nprl3/ Cell Death &amp; Differentiation/ Yinquan Fang, Qingling Jiang, Shanshan Li 2, Hong Zhu 1, Rong Xu, Nanshan Song, Xiao Ding, Jiaqi Liu, Miaomiao Chen, Mengmeng Song, Jianhua Ding, Ming Lu, Guangyu Wu, Gang Hu</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2021年28卷1822-1836页</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2021年6月</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Gang Hu</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Yinquan Fang, Qingling Jiang</w:t>
            </w:r>
          </w:p>
        </w:tc>
      </w:tr>
      <w:tr>
        <w:tblPrEx>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4</w:t>
            </w:r>
          </w:p>
        </w:tc>
        <w:tc>
          <w:tcPr>
            <w:tcW w:w="220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Pyridoxine induces glutathione synthesis via PKM2-mediated Nrf2 transactivation and confers neuroprotection/Nature Communications/ Yao Wei, Ming Lu, Meng Mei, Haoran Wang, Zhitao Han, Miaomiao Chen, Hang Yao, Nanshan Song, Xiao Ding, Jianhua Ding, Ming Xiao, Gang Hu</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2020年11卷</w:t>
            </w:r>
            <w:r>
              <w:rPr>
                <w:rFonts w:hint="eastAsia" w:ascii="Times New Roman" w:hAnsi="Times New Roman" w:cs="Times New Roman"/>
              </w:rPr>
              <w:t>9</w:t>
            </w:r>
            <w:r>
              <w:rPr>
                <w:rFonts w:ascii="Times New Roman" w:hAnsi="Times New Roman" w:cs="Times New Roman"/>
              </w:rPr>
              <w:t>41页</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2020年2月18日</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Gang Hu</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Yao Wei, Ming Lu, Meng Mei</w:t>
            </w:r>
          </w:p>
        </w:tc>
      </w:tr>
      <w:tr>
        <w:tblPrEx>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5</w:t>
            </w:r>
          </w:p>
        </w:tc>
        <w:tc>
          <w:tcPr>
            <w:tcW w:w="220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Drd2 biased agonist prevents neurodegeneration against NLRP3 inflammasome in Parkinson's disease model via a β-arrestin2-biased mechanism/ Brain, Behavior and Immunity/Jialei Zhu, Ting Sun, Jing Zhang, Yang Liu, Dongshuo Wang, Hong Zhu, Hang Yao, Jianhua Ding, Gang Hu, Ming Lu</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2020年90卷259-271页</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cs="Times New Roman"/>
              </w:rPr>
              <w:t>2020年11月</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Gang Hu Ming Lu</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Times New Roman" w:hAnsi="Times New Roman" w:eastAsia="宋体" w:cs="Times New Roman"/>
                <w:sz w:val="21"/>
                <w:szCs w:val="21"/>
              </w:rPr>
            </w:pPr>
            <w:r>
              <w:rPr>
                <w:rFonts w:ascii="Times New Roman" w:hAnsi="Times New Roman" w:cs="Times New Roman"/>
              </w:rPr>
              <w:t>Jialei Zhu, Sun Ting</w:t>
            </w:r>
          </w:p>
        </w:tc>
      </w:tr>
    </w:tbl>
    <w:p>
      <w:pPr>
        <w:rPr>
          <w:rFonts w:ascii="宋体" w:hAnsi="宋体" w:eastAsia="宋体"/>
          <w:b/>
          <w:bCs/>
          <w:sz w:val="24"/>
          <w:szCs w:val="28"/>
        </w:rPr>
      </w:pPr>
    </w:p>
    <w:p>
      <w:pPr>
        <w:rPr>
          <w:rFonts w:ascii="宋体" w:hAnsi="宋体" w:eastAsia="宋体"/>
          <w:b/>
          <w:bCs/>
          <w:sz w:val="24"/>
          <w:szCs w:val="28"/>
        </w:rPr>
      </w:pPr>
      <w:r>
        <w:rPr>
          <w:rFonts w:hint="eastAsia" w:ascii="宋体" w:hAnsi="宋体" w:eastAsia="宋体"/>
          <w:b/>
          <w:bCs/>
          <w:sz w:val="24"/>
          <w:szCs w:val="28"/>
        </w:rPr>
        <w:t>和（或）6、主要知识产权和标准规范等目录：</w:t>
      </w:r>
    </w:p>
    <w:tbl>
      <w:tblPr>
        <w:tblStyle w:val="16"/>
        <w:tblW w:w="920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68"/>
        <w:gridCol w:w="1300"/>
        <w:gridCol w:w="871"/>
        <w:gridCol w:w="1060"/>
        <w:gridCol w:w="1024"/>
        <w:gridCol w:w="1170"/>
        <w:gridCol w:w="877"/>
        <w:gridCol w:w="87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068" w:type="dxa"/>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知识产权</w:t>
            </w:r>
            <w:r>
              <w:rPr>
                <w:rFonts w:hint="eastAsia" w:ascii="Times New Roman" w:hAnsi="Times New Roman" w:eastAsia="宋体" w:cs="Times New Roman"/>
                <w:sz w:val="21"/>
                <w:szCs w:val="21"/>
              </w:rPr>
              <w:t>（标准）</w:t>
            </w:r>
            <w:r>
              <w:rPr>
                <w:rFonts w:ascii="Times New Roman" w:hAnsi="Times New Roman" w:eastAsia="宋体" w:cs="Times New Roman"/>
                <w:sz w:val="21"/>
                <w:szCs w:val="21"/>
              </w:rPr>
              <w:t>类别</w:t>
            </w:r>
          </w:p>
        </w:tc>
        <w:tc>
          <w:tcPr>
            <w:tcW w:w="1300" w:type="dxa"/>
            <w:vAlign w:val="center"/>
          </w:tcPr>
          <w:p>
            <w:pPr>
              <w:adjustRightInd w:val="0"/>
              <w:spacing w:line="28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知识产权（标准）具体</w:t>
            </w:r>
            <w:r>
              <w:rPr>
                <w:rFonts w:ascii="Times New Roman" w:hAnsi="Times New Roman" w:eastAsia="宋体" w:cs="Times New Roman"/>
                <w:sz w:val="21"/>
                <w:szCs w:val="21"/>
              </w:rPr>
              <w:t>名称</w:t>
            </w:r>
          </w:p>
        </w:tc>
        <w:tc>
          <w:tcPr>
            <w:tcW w:w="871" w:type="dxa"/>
            <w:vAlign w:val="center"/>
          </w:tcPr>
          <w:p>
            <w:pPr>
              <w:adjustRightInd w:val="0"/>
              <w:spacing w:line="28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国</w:t>
            </w:r>
            <w:r>
              <w:rPr>
                <w:rFonts w:hint="eastAsia" w:ascii="Times New Roman" w:hAnsi="Times New Roman" w:eastAsia="宋体" w:cs="Times New Roman"/>
                <w:sz w:val="21"/>
                <w:szCs w:val="21"/>
              </w:rPr>
              <w:t>家</w:t>
            </w:r>
          </w:p>
          <w:p>
            <w:pPr>
              <w:adjustRightInd w:val="0"/>
              <w:spacing w:line="28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地</w:t>
            </w:r>
            <w:r>
              <w:rPr>
                <w:rFonts w:ascii="Times New Roman" w:hAnsi="Times New Roman" w:eastAsia="宋体" w:cs="Times New Roman"/>
                <w:sz w:val="21"/>
                <w:szCs w:val="21"/>
              </w:rPr>
              <w:t>区）</w:t>
            </w:r>
          </w:p>
        </w:tc>
        <w:tc>
          <w:tcPr>
            <w:tcW w:w="1060" w:type="dxa"/>
            <w:vAlign w:val="center"/>
          </w:tcPr>
          <w:p>
            <w:pPr>
              <w:adjustRightInd w:val="0"/>
              <w:spacing w:line="28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授权号（标准编号）</w:t>
            </w:r>
          </w:p>
        </w:tc>
        <w:tc>
          <w:tcPr>
            <w:tcW w:w="1024" w:type="dxa"/>
            <w:vAlign w:val="center"/>
          </w:tcPr>
          <w:p>
            <w:pPr>
              <w:adjustRightInd w:val="0"/>
              <w:spacing w:line="28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授权（标准发布）日期</w:t>
            </w:r>
          </w:p>
        </w:tc>
        <w:tc>
          <w:tcPr>
            <w:tcW w:w="1170" w:type="dxa"/>
            <w:vAlign w:val="center"/>
          </w:tcPr>
          <w:p>
            <w:pPr>
              <w:adjustRightInd w:val="0"/>
              <w:spacing w:line="28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证书编号</w:t>
            </w:r>
            <w:r>
              <w:rPr>
                <w:rFonts w:ascii="Times New Roman" w:hAnsi="Times New Roman" w:eastAsia="宋体" w:cs="Times New Roman"/>
                <w:sz w:val="21"/>
                <w:szCs w:val="21"/>
              </w:rPr>
              <w:br w:type="textWrapping"/>
            </w:r>
            <w:r>
              <w:rPr>
                <w:rFonts w:hint="eastAsia" w:ascii="Times New Roman" w:hAnsi="Times New Roman" w:eastAsia="宋体" w:cs="Times New Roman"/>
                <w:sz w:val="21"/>
                <w:szCs w:val="21"/>
              </w:rPr>
              <w:t>（标准批准发布</w:t>
            </w:r>
            <w:r>
              <w:rPr>
                <w:rFonts w:ascii="Times New Roman" w:hAnsi="Times New Roman" w:eastAsia="宋体" w:cs="Times New Roman"/>
                <w:sz w:val="21"/>
                <w:szCs w:val="21"/>
              </w:rPr>
              <w:t>部门</w:t>
            </w:r>
            <w:r>
              <w:rPr>
                <w:rFonts w:hint="eastAsia" w:ascii="Times New Roman" w:hAnsi="Times New Roman" w:eastAsia="宋体" w:cs="Times New Roman"/>
                <w:sz w:val="21"/>
                <w:szCs w:val="21"/>
              </w:rPr>
              <w:t>）</w:t>
            </w:r>
          </w:p>
        </w:tc>
        <w:tc>
          <w:tcPr>
            <w:tcW w:w="877" w:type="dxa"/>
            <w:vAlign w:val="center"/>
          </w:tcPr>
          <w:p>
            <w:pPr>
              <w:adjustRightInd w:val="0"/>
              <w:spacing w:line="28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权利人（标准起草单位）</w:t>
            </w:r>
          </w:p>
        </w:tc>
        <w:tc>
          <w:tcPr>
            <w:tcW w:w="878" w:type="dxa"/>
            <w:vAlign w:val="center"/>
          </w:tcPr>
          <w:p>
            <w:pPr>
              <w:adjustRightInd w:val="0"/>
              <w:spacing w:line="28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发明人（标准起草人）</w:t>
            </w:r>
          </w:p>
        </w:tc>
        <w:tc>
          <w:tcPr>
            <w:tcW w:w="957" w:type="dxa"/>
            <w:vAlign w:val="center"/>
          </w:tcPr>
          <w:p>
            <w:pPr>
              <w:adjustRightInd w:val="0"/>
              <w:spacing w:line="28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6" w:hRule="atLeast"/>
        </w:trPr>
        <w:tc>
          <w:tcPr>
            <w:tcW w:w="1068" w:type="dxa"/>
            <w:vAlign w:val="center"/>
          </w:tcPr>
          <w:p>
            <w:pPr>
              <w:adjustRightInd w:val="0"/>
              <w:spacing w:line="280" w:lineRule="exact"/>
              <w:jc w:val="center"/>
              <w:rPr>
                <w:rFonts w:ascii="Times New Roman" w:hAnsi="Times New Roman" w:eastAsia="宋体" w:cs="Times New Roman"/>
                <w:sz w:val="21"/>
                <w:szCs w:val="21"/>
              </w:rPr>
            </w:pPr>
            <w:r>
              <w:rPr>
                <w:rFonts w:cs="Times New Roman" w:asciiTheme="minorEastAsia" w:hAnsiTheme="minorEastAsia"/>
              </w:rPr>
              <w:t>发明</w:t>
            </w:r>
          </w:p>
        </w:tc>
        <w:tc>
          <w:tcPr>
            <w:tcW w:w="1300" w:type="dxa"/>
            <w:vAlign w:val="center"/>
          </w:tcPr>
          <w:p>
            <w:pPr>
              <w:adjustRightInd w:val="0"/>
              <w:spacing w:line="280" w:lineRule="exact"/>
              <w:jc w:val="center"/>
              <w:rPr>
                <w:rFonts w:ascii="Times New Roman" w:hAnsi="Times New Roman" w:eastAsia="宋体" w:cs="Times New Roman"/>
                <w:sz w:val="21"/>
                <w:szCs w:val="21"/>
              </w:rPr>
            </w:pPr>
            <w:r>
              <w:rPr>
                <w:rFonts w:cs="Times New Roman" w:asciiTheme="minorEastAsia" w:hAnsiTheme="minorEastAsia"/>
              </w:rPr>
              <w:t>益母草碱的用途</w:t>
            </w:r>
          </w:p>
        </w:tc>
        <w:tc>
          <w:tcPr>
            <w:tcW w:w="871" w:type="dxa"/>
            <w:vAlign w:val="center"/>
          </w:tcPr>
          <w:p>
            <w:pPr>
              <w:adjustRightInd w:val="0"/>
              <w:spacing w:line="280" w:lineRule="exact"/>
              <w:jc w:val="center"/>
              <w:rPr>
                <w:rFonts w:ascii="Times New Roman" w:hAnsi="Times New Roman" w:eastAsia="宋体" w:cs="Times New Roman"/>
                <w:sz w:val="21"/>
                <w:szCs w:val="21"/>
              </w:rPr>
            </w:pPr>
            <w:r>
              <w:rPr>
                <w:rFonts w:cs="Times New Roman" w:asciiTheme="minorEastAsia" w:hAnsiTheme="minorEastAsia"/>
              </w:rPr>
              <w:t>中国</w:t>
            </w:r>
          </w:p>
        </w:tc>
        <w:tc>
          <w:tcPr>
            <w:tcW w:w="1060" w:type="dxa"/>
            <w:vAlign w:val="center"/>
          </w:tcPr>
          <w:p>
            <w:pPr>
              <w:adjustRightInd w:val="0"/>
              <w:spacing w:line="280" w:lineRule="exact"/>
              <w:jc w:val="center"/>
              <w:rPr>
                <w:rFonts w:ascii="Times New Roman" w:hAnsi="Times New Roman" w:eastAsia="宋体" w:cs="Times New Roman"/>
                <w:sz w:val="21"/>
                <w:szCs w:val="21"/>
              </w:rPr>
            </w:pPr>
            <w:r>
              <w:rPr>
                <w:rFonts w:cs="Times New Roman" w:asciiTheme="minorEastAsia" w:hAnsiTheme="minorEastAsia"/>
              </w:rPr>
              <w:t xml:space="preserve">ZL 2017 1 0049117.2 </w:t>
            </w:r>
          </w:p>
        </w:tc>
        <w:tc>
          <w:tcPr>
            <w:tcW w:w="1024" w:type="dxa"/>
            <w:vAlign w:val="center"/>
          </w:tcPr>
          <w:p>
            <w:pPr>
              <w:adjustRightInd w:val="0"/>
              <w:spacing w:line="280" w:lineRule="exact"/>
              <w:jc w:val="center"/>
              <w:rPr>
                <w:rFonts w:ascii="Times New Roman" w:hAnsi="Times New Roman" w:eastAsia="宋体" w:cs="Times New Roman"/>
                <w:sz w:val="21"/>
                <w:szCs w:val="21"/>
              </w:rPr>
            </w:pPr>
            <w:r>
              <w:rPr>
                <w:rFonts w:cs="Times New Roman" w:asciiTheme="minorEastAsia" w:hAnsiTheme="minorEastAsia"/>
              </w:rPr>
              <w:t>2019-05-10</w:t>
            </w:r>
          </w:p>
        </w:tc>
        <w:tc>
          <w:tcPr>
            <w:tcW w:w="1170" w:type="dxa"/>
            <w:vAlign w:val="center"/>
          </w:tcPr>
          <w:p>
            <w:pPr>
              <w:adjustRightInd w:val="0"/>
              <w:spacing w:line="280" w:lineRule="exact"/>
              <w:jc w:val="center"/>
              <w:rPr>
                <w:rFonts w:ascii="Times New Roman" w:hAnsi="Times New Roman" w:eastAsia="宋体" w:cs="Times New Roman"/>
                <w:sz w:val="21"/>
                <w:szCs w:val="21"/>
              </w:rPr>
            </w:pPr>
            <w:r>
              <w:rPr>
                <w:rFonts w:cs="Times New Roman" w:asciiTheme="minorEastAsia" w:hAnsiTheme="minorEastAsia"/>
              </w:rPr>
              <w:t>3368734</w:t>
            </w:r>
          </w:p>
        </w:tc>
        <w:tc>
          <w:tcPr>
            <w:tcW w:w="877" w:type="dxa"/>
            <w:vAlign w:val="center"/>
          </w:tcPr>
          <w:p>
            <w:pPr>
              <w:adjustRightInd w:val="0"/>
              <w:spacing w:line="280" w:lineRule="exact"/>
              <w:jc w:val="center"/>
              <w:rPr>
                <w:rFonts w:ascii="Times New Roman" w:hAnsi="Times New Roman" w:eastAsia="宋体" w:cs="Times New Roman"/>
                <w:sz w:val="21"/>
                <w:szCs w:val="21"/>
              </w:rPr>
            </w:pPr>
            <w:r>
              <w:rPr>
                <w:rFonts w:cs="Times New Roman" w:asciiTheme="minorEastAsia" w:hAnsiTheme="minorEastAsia"/>
              </w:rPr>
              <w:t>南京医科大学</w:t>
            </w:r>
          </w:p>
        </w:tc>
        <w:tc>
          <w:tcPr>
            <w:tcW w:w="878" w:type="dxa"/>
            <w:vAlign w:val="center"/>
          </w:tcPr>
          <w:p>
            <w:pPr>
              <w:pStyle w:val="39"/>
              <w:rPr>
                <w:rFonts w:cs="Times New Roman" w:asciiTheme="minorEastAsia" w:hAnsiTheme="minorEastAsia" w:eastAsiaTheme="minorEastAsia"/>
              </w:rPr>
            </w:pPr>
            <w:r>
              <w:rPr>
                <w:rFonts w:cs="Times New Roman" w:asciiTheme="minorEastAsia" w:hAnsiTheme="minorEastAsia" w:eastAsiaTheme="minorEastAsia"/>
              </w:rPr>
              <w:t xml:space="preserve">胡刚；贾苗苗；朱依谆；丁建花；鲁明 </w:t>
            </w:r>
          </w:p>
        </w:tc>
        <w:tc>
          <w:tcPr>
            <w:tcW w:w="957" w:type="dxa"/>
            <w:vAlign w:val="center"/>
          </w:tcPr>
          <w:p>
            <w:pPr>
              <w:adjustRightInd w:val="0"/>
              <w:spacing w:line="280" w:lineRule="exact"/>
              <w:jc w:val="center"/>
              <w:rPr>
                <w:rFonts w:ascii="Times New Roman" w:hAnsi="Times New Roman" w:eastAsia="宋体" w:cs="Times New Roman"/>
                <w:sz w:val="21"/>
                <w:szCs w:val="21"/>
              </w:rPr>
            </w:pPr>
            <w:r>
              <w:rPr>
                <w:rFonts w:hint="eastAsia" w:cs="Times New Roman" w:asciiTheme="minorEastAsia" w:hAnsiTheme="minorEastAsia"/>
              </w:rPr>
              <w:t>有效</w:t>
            </w:r>
          </w:p>
        </w:tc>
      </w:tr>
    </w:tbl>
    <w:p>
      <w:pPr>
        <w:rPr>
          <w:rFonts w:ascii="宋体" w:hAnsi="宋体" w:eastAsia="宋体"/>
          <w:sz w:val="24"/>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awati SC">
    <w:altName w:val="微软雅黑"/>
    <w:panose1 w:val="00000000000000000000"/>
    <w:charset w:val="86"/>
    <w:family w:val="decorative"/>
    <w:pitch w:val="default"/>
    <w:sig w:usb0="00000000" w:usb1="00000000" w:usb2="00000016" w:usb3="00000000" w:csb0="0004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YmViZjI1NWY3ZWJmZWJlMzI3NjY0NWJkMTg3NGQifQ=="/>
  </w:docVars>
  <w:rsids>
    <w:rsidRoot w:val="00D05683"/>
    <w:rsid w:val="00121B61"/>
    <w:rsid w:val="0015704A"/>
    <w:rsid w:val="001C1FC4"/>
    <w:rsid w:val="001F0D3F"/>
    <w:rsid w:val="0020774A"/>
    <w:rsid w:val="00294D94"/>
    <w:rsid w:val="002B6AAD"/>
    <w:rsid w:val="002D006E"/>
    <w:rsid w:val="002F5279"/>
    <w:rsid w:val="00372A70"/>
    <w:rsid w:val="003876CC"/>
    <w:rsid w:val="00413BAC"/>
    <w:rsid w:val="006C10FE"/>
    <w:rsid w:val="00704C5D"/>
    <w:rsid w:val="008350CC"/>
    <w:rsid w:val="00891506"/>
    <w:rsid w:val="00894550"/>
    <w:rsid w:val="009E1598"/>
    <w:rsid w:val="00AC020B"/>
    <w:rsid w:val="00B62F92"/>
    <w:rsid w:val="00C30F13"/>
    <w:rsid w:val="00CC2601"/>
    <w:rsid w:val="00CF2C58"/>
    <w:rsid w:val="00CF482D"/>
    <w:rsid w:val="00D05683"/>
    <w:rsid w:val="00D93833"/>
    <w:rsid w:val="00E07724"/>
    <w:rsid w:val="00ED7CB1"/>
    <w:rsid w:val="00F83B7C"/>
    <w:rsid w:val="1E3649B9"/>
    <w:rsid w:val="36153552"/>
    <w:rsid w:val="513F4176"/>
    <w:rsid w:val="547263EE"/>
    <w:rsid w:val="5FEF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autoRedefine/>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Plain Text"/>
    <w:basedOn w:val="1"/>
    <w:link w:val="38"/>
    <w:autoRedefine/>
    <w:qFormat/>
    <w:uiPriority w:val="0"/>
    <w:pPr>
      <w:spacing w:after="0" w:line="400" w:lineRule="exact"/>
      <w:ind w:firstLine="420" w:firstLineChars="200"/>
      <w:jc w:val="both"/>
    </w:pPr>
    <w:rPr>
      <w:rFonts w:ascii="Times New Roman" w:hAnsi="Times New Roman" w:eastAsia="宋体" w:cs="Times New Roman"/>
      <w:bCs/>
      <w:sz w:val="21"/>
      <w:szCs w:val="21"/>
      <w14:ligatures w14:val="none"/>
    </w:rPr>
  </w:style>
  <w:style w:type="paragraph" w:styleId="12">
    <w:name w:val="footer"/>
    <w:basedOn w:val="1"/>
    <w:link w:val="37"/>
    <w:autoRedefine/>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6"/>
    <w:autoRedefine/>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autoRedefine/>
    <w:semiHidden/>
    <w:qFormat/>
    <w:uiPriority w:val="9"/>
    <w:rPr>
      <w:rFonts w:cstheme="majorBidi"/>
      <w:color w:val="104862" w:themeColor="accent1" w:themeShade="BF"/>
      <w:sz w:val="28"/>
      <w:szCs w:val="28"/>
    </w:rPr>
  </w:style>
  <w:style w:type="character" w:customStyle="1" w:styleId="22">
    <w:name w:val="标题 5 字符"/>
    <w:basedOn w:val="17"/>
    <w:link w:val="6"/>
    <w:autoRedefine/>
    <w:semiHidden/>
    <w:qFormat/>
    <w:uiPriority w:val="9"/>
    <w:rPr>
      <w:rFonts w:cstheme="majorBidi"/>
      <w:color w:val="104862" w:themeColor="accent1" w:themeShade="BF"/>
      <w:sz w:val="24"/>
    </w:rPr>
  </w:style>
  <w:style w:type="character" w:customStyle="1" w:styleId="23">
    <w:name w:val="标题 6 字符"/>
    <w:basedOn w:val="17"/>
    <w:link w:val="7"/>
    <w:autoRedefine/>
    <w:semiHidden/>
    <w:qFormat/>
    <w:uiPriority w:val="9"/>
    <w:rPr>
      <w:rFonts w:cstheme="majorBidi"/>
      <w:b/>
      <w:bCs/>
      <w:color w:val="104862" w:themeColor="accent1" w:themeShade="BF"/>
    </w:rPr>
  </w:style>
  <w:style w:type="character" w:customStyle="1" w:styleId="24">
    <w:name w:val="标题 7 字符"/>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style>
  <w:style w:type="character" w:customStyle="1" w:styleId="32">
    <w:name w:val="明显强调1"/>
    <w:basedOn w:val="17"/>
    <w:autoRedefine/>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autoRedefine/>
    <w:qFormat/>
    <w:uiPriority w:val="30"/>
    <w:rPr>
      <w:i/>
      <w:iCs/>
      <w:color w:val="104862" w:themeColor="accent1" w:themeShade="BF"/>
    </w:rPr>
  </w:style>
  <w:style w:type="character" w:customStyle="1" w:styleId="35">
    <w:name w:val="明显参考1"/>
    <w:basedOn w:val="17"/>
    <w:autoRedefine/>
    <w:qFormat/>
    <w:uiPriority w:val="32"/>
    <w:rPr>
      <w:b/>
      <w:bCs/>
      <w:smallCaps/>
      <w:color w:val="104862" w:themeColor="accent1" w:themeShade="BF"/>
      <w:spacing w:val="5"/>
    </w:rPr>
  </w:style>
  <w:style w:type="character" w:customStyle="1" w:styleId="36">
    <w:name w:val="页眉 字符"/>
    <w:basedOn w:val="17"/>
    <w:link w:val="13"/>
    <w:autoRedefine/>
    <w:qFormat/>
    <w:uiPriority w:val="99"/>
    <w:rPr>
      <w:sz w:val="18"/>
      <w:szCs w:val="18"/>
    </w:rPr>
  </w:style>
  <w:style w:type="character" w:customStyle="1" w:styleId="37">
    <w:name w:val="页脚 字符"/>
    <w:basedOn w:val="17"/>
    <w:link w:val="12"/>
    <w:autoRedefine/>
    <w:qFormat/>
    <w:uiPriority w:val="99"/>
    <w:rPr>
      <w:sz w:val="18"/>
      <w:szCs w:val="18"/>
    </w:rPr>
  </w:style>
  <w:style w:type="character" w:customStyle="1" w:styleId="38">
    <w:name w:val="纯文本 字符"/>
    <w:basedOn w:val="17"/>
    <w:link w:val="11"/>
    <w:autoRedefine/>
    <w:qFormat/>
    <w:uiPriority w:val="0"/>
    <w:rPr>
      <w:rFonts w:ascii="Times New Roman" w:hAnsi="Times New Roman" w:eastAsia="宋体" w:cs="Times New Roman"/>
      <w:bCs/>
      <w:kern w:val="2"/>
      <w:sz w:val="21"/>
      <w:szCs w:val="21"/>
    </w:rPr>
  </w:style>
  <w:style w:type="paragraph" w:customStyle="1" w:styleId="39">
    <w:name w:val="Table Paragraph"/>
    <w:basedOn w:val="1"/>
    <w:qFormat/>
    <w:uiPriority w:val="1"/>
    <w:pPr>
      <w:autoSpaceDE w:val="0"/>
      <w:autoSpaceDN w:val="0"/>
      <w:spacing w:after="0" w:line="240" w:lineRule="auto"/>
    </w:pPr>
    <w:rPr>
      <w:rFonts w:ascii="Wawati SC" w:hAnsi="Wawati SC" w:eastAsia="Wawati SC" w:cs="Wawati SC"/>
      <w:kern w:val="0"/>
      <w:szCs w:val="2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325</Words>
  <Characters>1855</Characters>
  <Lines>15</Lines>
  <Paragraphs>4</Paragraphs>
  <TotalTime>18</TotalTime>
  <ScaleCrop>false</ScaleCrop>
  <LinksUpToDate>false</LinksUpToDate>
  <CharactersWithSpaces>2176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2024-02-06T05:11:00Z</dcterms:created>
  <dc:creator>wei jiang</dc:creator>
  <cp:lastModifiedBy>竹你平安</cp:lastModifiedBy>
  <dcterms:modified xsi:type="dcterms:W3CDTF">2024-02-26T05:44:22Z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64A9DD214BC3421FBCE6E010DF51DB68_13</vt:lpwstr>
  </property>
</Properties>
</file>